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Ayla Tavares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Born in 1990, Brazil. She lives and works in Madrid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Solo Exhibitions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Earendel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LAMB, London, United Kingdom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Coisas que se movem lentas,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Galeria Athena, Rio de Janeiro, Brazil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Ustão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Casa-Museu Eva Klabin, Rio de Janeiro, Brazil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Alfarería del agua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Collegium Museum, Arévalo, Spain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Sonantes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Centro Cultural Light, Rio de Janeiro, Brazil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Selected Group Exhibitions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2025 - Mother/Land, Murmurs, Los Angeles, USA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La lluvia no viene del cielo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Collegium Museum, Arévalo, Spain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Paru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Espaço Jacarandá, Rio de Janeiro, Brazil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Olhe bem as montanhas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Quadra Galeria , São Paulo, Brazil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Caminos de comprensión de la Historia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Casa de la moneda, Segovia, Spain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Do desenho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Centro Cultural dos Correios, Rio de Janeiro, Brazil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Corpo-gesto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Galeria Nonada, Rio de Janeiro, Brazil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2023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Corpo Botânico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Pavilhão Vitor Brecheret (ARt clube Jacarandá), Rio de Janeiro, Brazil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2023 – Jingdezhen International Ceramic Art Biennale Jingdezhen, China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Whispers from the south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LAMB, London, United Kingdom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Dançando na margem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Fabrica Bhering (Piscina.art), Rio de Janeiro, Brazil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O que há de música em você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Galeria Athena, Rio de Janeiro, Brazil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Exposição do acervo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Alban Galeria, Salvador, Brazil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2021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Deriva Continental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C. Galeria , Rio de Janeiro, Brazil 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2021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Nzanza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Escola sem sítio, Exposição virtual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2021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 World Away, A Thought Apart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Gallery Petite - New York, United States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2021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Spring exhibition/auction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Weserhalle Gallery - Berlin, Germany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2020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Ainda fazemos as coisas em grupo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Centro Municipal de Arte Hélio Oiticica (CMAHO), Rio de Janeiro, Brazil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Mapas para cruzar fronteiras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Tipografia, Rio de Janeiro, Brazil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Bienal da EBA, Paço Imperial, Rio de Janeiro, Brazil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Circuito ateliês abertos ARTRio, A mesa, Rio de Janeiro, Brazil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Desilha 2019, ativação na Praça da Harmonia, Rio de Janeiro, Brazil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Andando na história do meu povo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Galeria Gustavo Schnoor - Rio de Janeiro, Brazil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Já não pesa mais que o ar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 Galeria 19, Rio de Janeiro, Brazil 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18o Salão de Arte de Jataí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Museu de Arte Contemporânea, Jataí, Brazil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Colectiva de dibujo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La Salita, Asturias, Spain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2018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15o Salão Ubatuba de Artes Visuais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Ubatuba, Brazil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2017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Novíssimos 2017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Galeria Ibeu, Rio de Janeiro, Brazil 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2017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Retrospectiva RAM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Galeria Mama/Cadela, Belo Horizonte, Brazil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2017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Coletiva Airez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Galeria Airez, Curitiba, Brazil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Salão de Artes Plásticas de Mococa (prêmio aquisição)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, Mococa, Brazil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Art Residencies 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2013 – Residência Artística na Mutuca (RAM),Altamira, Minas Gerais, Brazil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Pivô Pesquisa, São Paulo, São Paulo, Brazil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Entre tiempos Residency (Collegium Museum + Inclusartiz Institute), Arévalo, Spain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right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904478" cy="252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478" cy="252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